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endnotes.xml" ContentType="application/vnd.openxmlformats-officedocument.wordprocessingml.endnot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28675" cy="609600"/>
                <wp:effectExtent l="0" t="0" r="0" b="0"/>
                <wp:docPr id="1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828675" cy="6096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65.25pt;height:48.00pt;mso-wrap-distance-left:0.00pt;mso-wrap-distance-top:0.00pt;mso-wrap-distance-right:0.00pt;mso-wrap-distance-bottom:0.00pt;z-index:1;"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keepNext w:val="true"/>
        <w:widowControl w:val="false"/>
        <w:pBdr/>
        <w:spacing/>
        <w:ind w:left="-709"/>
        <w:jc w:val="center"/>
        <w:rPr>
          <w:rFonts w:ascii="Courier New" w:hAnsi="Courier New" w:eastAsia="Courier New" w:cs="Courier New"/>
          <w:sz w:val="24"/>
          <w:szCs w:val="24"/>
        </w:rPr>
      </w:pPr>
      <w:r>
        <w:rPr>
          <w:rFonts w:ascii="Courier New" w:hAnsi="Courier New" w:eastAsia="Courier New" w:cs="Courier New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04800" cy="133350"/>
                <wp:effectExtent l="0" t="0" r="0" b="0"/>
                <wp:docPr id="2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304800" cy="1333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24.00pt;height:10.50pt;mso-wrap-distance-left:0.00pt;mso-wrap-distance-top:0.00pt;mso-wrap-distance-right:0.00pt;mso-wrap-distance-bottom:0.00pt;z-index:1;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Courier New" w:hAnsi="Courier New" w:eastAsia="Courier New" w:cs="Courier New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МИНИСТЕРСТВО НАУКИ И ВЫСШЕГО ОБРАЗОВАНИЯ РОССИЙСКОЙ ФЕДЕРАЦИИ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Федеральное государственное бюджетное образовательное учреждение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«Кубанский государственный университет»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(ФГБОУ ВО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КубГУ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»)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widowControl w:val="false"/>
        <w:pBdr/>
        <w:spacing/>
        <w:ind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Физико-технический факультет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Кафедра теоретической физики и компьютерных технологий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widowControl w:val="false"/>
        <w:pBdr/>
        <w:spacing/>
        <w:ind w:left="-85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ОТЧ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лабораторной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работе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№1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АНАЛИЗ ПРЕДМЕТНОГО СОДЕРЖАНИЯ НОРМАТИВНЫХ ДОКУМЕНТОВ И ИХ ПРИЗНАКОВ, ПОДЛЕЖАЩИХ АКТУАЛИЗАЦИИ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Работу выполнил </w:t>
      </w:r>
      <w:r>
        <w:rPr>
          <w:rFonts w:ascii="Times New Roman" w:hAnsi="Times New Roman" w:cs="Times New Roman"/>
          <w:sz w:val="28"/>
          <w:szCs w:val="28"/>
        </w:rPr>
        <w:t xml:space="preserve">Васильев Никита Евгениевич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подготовки 09.03.02 Информационные системы и технологии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</w:t>
      </w:r>
      <w:r>
        <w:rPr>
          <w:rFonts w:ascii="Times New Roman" w:hAnsi="Times New Roman" w:cs="Times New Roman"/>
          <w:sz w:val="28"/>
          <w:szCs w:val="28"/>
        </w:rPr>
        <w:t xml:space="preserve">ель Парфенова И. 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 Доцент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left="-85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 w:left="-8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Краснодар, 202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sdt>
      <w:sdtPr>
        <w15:appearance w15:val="boundingBox"/>
        <w:id w:val="1435554735"/>
        <w:rPr>
          <w:rFonts w:ascii="Calibri" w:hAnsi="Calibri" w:eastAsia="Calibri" w:cs="Calibri"/>
          <w:color w:val="auto"/>
          <w:sz w:val="22"/>
          <w:szCs w:val="22"/>
        </w:rPr>
      </w:sdtPr>
      <w:sdtContent>
        <w:p>
          <w:pPr>
            <w:pStyle w:val="808"/>
            <w:pBdr/>
            <w:spacing/>
            <w:ind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 xml:space="preserve">Содержание</w:t>
          </w: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r>
        </w:p>
        <w:p>
          <w:pPr>
            <w:pBdr/>
            <w:spacing/>
            <w:ind/>
            <w:rPr/>
          </w:pPr>
          <w:r/>
          <w:r/>
        </w:p>
        <w:p>
          <w:pPr>
            <w:pStyle w:val="809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tooltip="#_Toc177070546" w:anchor="_Toc177070546" w:history="1">
            <w:r>
              <w:rPr>
                <w:rStyle w:val="796"/>
                <w:rFonts w:ascii="Times New Roman" w:hAnsi="Times New Roman" w:eastAsia="Times New Roman" w:cs="Times New Roman"/>
                <w:sz w:val="28"/>
                <w:szCs w:val="28"/>
              </w:rPr>
              <w:t xml:space="preserve">Введение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_Toc177070546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Style w:val="796"/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Style w:val="809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/>
          <w:hyperlink w:tooltip="#_Toc177070547" w:anchor="_Toc177070547" w:history="1">
            <w:r>
              <w:rPr>
                <w:rStyle w:val="796"/>
                <w:rFonts w:ascii="Times New Roman" w:hAnsi="Times New Roman" w:eastAsia="Times New Roman" w:cs="Times New Roman"/>
                <w:sz w:val="28"/>
                <w:szCs w:val="28"/>
              </w:rPr>
              <w:t xml:space="preserve">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Style w:val="809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/>
          <w:hyperlink w:tooltip="#_Toc177070547" w:anchor="_Toc177070547" w:history="1">
            <w:r>
              <w:rPr>
                <w:rStyle w:val="796"/>
                <w:rFonts w:ascii="Times New Roman" w:hAnsi="Times New Roman" w:eastAsia="Times New Roman" w:cs="Times New Roman"/>
                <w:sz w:val="28"/>
                <w:szCs w:val="28"/>
              </w:rPr>
              <w:t xml:space="preserve">Теоретическая 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Style w:val="809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/>
          <w:hyperlink w:tooltip="#_Toc177070547" w:anchor="_Toc177070547" w:history="1">
            <w:r>
              <w:rPr>
                <w:rStyle w:val="796"/>
                <w:rFonts w:ascii="Times New Roman" w:hAnsi="Times New Roman" w:eastAsia="Times New Roman" w:cs="Times New Roman"/>
                <w:sz w:val="28"/>
                <w:szCs w:val="28"/>
              </w:rPr>
              <w:t xml:space="preserve">Практическая 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Style w:val="809"/>
            <w:pBdr/>
            <w:tabs>
              <w:tab w:val="right" w:leader="dot" w:pos="9344"/>
            </w:tabs>
            <w:spacing/>
            <w:ind/>
            <w:rPr>
              <w:rFonts w:ascii="Times New Roman" w:hAnsi="Times New Roman" w:cs="Times New Roman" w:eastAsiaTheme="minorEastAsia"/>
              <w:sz w:val="28"/>
              <w:szCs w:val="28"/>
            </w:rPr>
          </w:pPr>
          <w:r/>
          <w:hyperlink w:tooltip="#_Toc177070548" w:anchor="_Toc177070548" w:history="1">
            <w:r>
              <w:rPr>
                <w:rStyle w:val="796"/>
                <w:rFonts w:ascii="Times New Roman" w:hAnsi="Times New Roman" w:eastAsia="Times New Roman" w:cs="Times New Roman"/>
                <w:sz w:val="28"/>
                <w:szCs w:val="28"/>
              </w:rPr>
              <w:t xml:space="preserve">Заключение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</w:t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</w:rPr>
          </w:r>
        </w:p>
        <w:p>
          <w:pPr>
            <w:pBdr/>
            <w:spacing/>
            <w:ind/>
            <w:rPr/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  <w:r/>
        </w:p>
      </w:sdtContent>
    </w:sdt>
    <w:p>
      <w:pPr>
        <w:pBdr/>
        <w:spacing w:line="360" w:lineRule="auto"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Style w:val="781"/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/>
      <w:bookmarkStart w:id="1" w:name="_Toc177070546"/>
      <w:r>
        <w:rPr>
          <w:rFonts w:ascii="Times New Roman" w:hAnsi="Times New Roman" w:eastAsia="Times New Roman" w:cs="Times New Roman"/>
          <w:sz w:val="28"/>
          <w:szCs w:val="28"/>
        </w:rPr>
        <w:t xml:space="preserve">Введение</w:t>
      </w:r>
      <w:bookmarkEnd w:id="1"/>
      <w:r/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Целью выполнения лабораторной работы является закрепление терминов и определений национальной системы стандартизации Российской Федерации и приобретение навыков: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− классификации объекта стандартизации;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− определения аспекта стандартизации;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− установления категории нормативного документа;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− определения области стандартизации;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− выявления сферы применения нормативного документа;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−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идентификации стандартов и формирования заключения о возможности использования данного стандарта в текущем году.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целом, проведение лабораторной работы обеспечивает закрепление теоретического материала лекций по национальной системе стандартизации Российской Федерации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1"/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/>
        <w:rPr/>
      </w:pPr>
      <w:r/>
      <w:r/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1.1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таблице 1.1 ме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тодических указаний найти, предложенный преподавателем номер варианта задания - графа 1. Во второй графе таблицы 1 приведено обозначение системного стандарта, подлежащего исследованию. В третьей графе таблицы 1 приведено обозначение внесистемного стандарта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Для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каждого выбранного стандарта выявить обозначение стандарта и наименование. Данные полученные в результате исследований занести в таблицу 1.2. Исходя из обозначения (для системного стандарта) идентифицировать номер межотраслевой системы, об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еспечивающий взаимосвязь между стандартами в данной системе. В отчете отразить, что объединяет стандарты в определенные межотраслевые комплексы. Исследовать актуализируемые признаки стандартов и результаты анализа внести в соответствующие графы таблицы 1.3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035040" cy="4480560"/>
                <wp:effectExtent l="0" t="0" r="0" b="0"/>
                <wp:docPr id="3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035039" cy="4480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width:475.20pt;height:352.80pt;mso-wrap-distance-left:0.00pt;mso-wrap-distance-top:0.00pt;mso-wrap-distance-right:0.00pt;mso-wrap-distance-bottom:0.00pt;z-index:1;" stroked="f">
                <v:imagedata r:id="rId14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1.2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Привести структуры обозначений исследуемых стандартов в соответствии с установленной схемой.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Задание 1.3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Оформить отчет о проделанной работе. Сделать выводы. В отчете следует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привести:  основные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термины и определения, сопутствующие 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ыполнению заданий, заполненные таблицы и выводы о проделанной работе в целом. В заключение необходимо указать основные критерии идентификации нормативного документа по стандартизации и выделить те, которые могут быть актуализированы в процессе его действия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1"/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Теоретическая часть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rPr/>
      </w:pPr>
      <w:r/>
      <w:r/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Нормативный документ: Документ, устанавливающий правила, общие принципы или характеристики, касающиеся различных видов деятельности или их результатов.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Стандарт: Нормативный документ, разработанный на основе консенсуса и утвержденный признанным органом, в котором устанавливаются для всеобщего и многократного использования правила, общие принципы или характеристики.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Категории стандартов: Классификация стандартов по уровню утверждения и сфере действия. Основные категории в РФ и СНГ: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Межгосударственный стандарт (ГОСТ): Принят Межгосударственным советом по стандартизации, метрологии и сертификации и действует на территории стран-участниц СНГ.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Национальный стандарт (ГОСТ Р): Утвержден национальным органом по стандартизации и действует на территории Российской Федерации.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Обозначение стандарта: Уникальный код, присваиваемый стандарту при регистрации, который включает в себя индекс, регистрационный номер и год утверждения.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Индекс стандарта: Буквенная часть обозначения, указывающая на категорию стандарта.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Межотрасл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евая система стандартов: Комплекс взаимосвязанных стандартов, устанавливающих согласованные требования к объектам стандартизации в различных отраслях. Каждая система имеет свой цифровой код. Стандарты, не входящие в такие системы, называются внесистемными.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Объект стандартизации: Продукция, процесс или услуга, на которую распространяются требования стандарта.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Аспект стандартизации: Конкретное свойство или характеристика объекта стандартизации, рассматриваемая в документе.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Код стандарта: Код по Общероссийскому классификатору стандартов, который является гармонизированным с Международным классификатором стандартов. Используется для систематизации и поиска стандартов.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Актуализация нормативных документов: Процесс поддержания НД в актуальном состоянии, который включает проверку их статуса (действующий, отменен, заменен), а также внесение изменений и поправок для соответствия современному уровню науки и техники.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1"/>
        <w:pBdr/>
        <w:spacing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Практическая часть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81"/>
        <w:pBdr/>
        <w:spacing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Таблица 1.2 – Анализ нормативных документов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Style w:val="799"/>
        <w:jc w:val="center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3226"/>
        <w:gridCol w:w="3118"/>
        <w:gridCol w:w="3226"/>
      </w:tblGrid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стандарта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Макетный метод проектирования. Техническая информация на рабочем макете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текло оптическое бесцветное. Физико-химические характеристики. Основные параметры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Обозначение стандарта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ГОСТ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2.802-74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ГОСТ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13659-78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Индекс стандарта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ГОСТ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ГОСТ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Регистрационный номер стандарта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208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13659</w:t>
            </w:r>
            <w:r/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 межотраслевой системы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стандартов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tabs>
                <w:tab w:val="left" w:leader="none" w:pos="624"/>
              </w:tabs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—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Аббревиатура системы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ЕСКД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—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Объект стандартизации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Техническая информация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Стекло оптическое бесцветное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Аспект стандартизации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Объем технической информации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правила маркировки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Физико-химические характеристики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Код стандарта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tabs>
                <w:tab w:val="center" w:leader="none" w:pos="1487"/>
              </w:tabs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01.110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37.020</w:t>
            </w:r>
            <w:r/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Категория стандарта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Межгосударственный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Межгосударственный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Область стандартизации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Проектирование промышленных предприятий, установок и сооружений.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Оптическое оборудование и приборостроение.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Изменения, принятые к стандарту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Изменение №1 (ИУС 2-85)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Изменения № 1, 2 (ИУС 3-85, 11-89)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Заключение о возможности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Действует, использование возможно.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Borders/>
            <w:tcW w:w="3226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Действует, использование возможно.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</w:tbl>
    <w:p>
      <w:pPr>
        <w:pBdr/>
        <w:spacing w:line="360" w:lineRule="auto"/>
        <w:ind w:firstLine="72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Структура обозначений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ГОСТ 2.802-74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индекс, указывающий на категорию (межгосударственный стандарт).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регистрационный номер межотраслевой системы стандартов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Единая система конструкторской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ЕСКД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208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порядковый номер стандарта внутри данной системы.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74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год утверждения стандарта (1974).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ГОСТ 13659-78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индекс, указывающий на категорию (межгосударственный стандарт).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13659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регистрационный номер стандарта.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78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год утверждения стандарта (1978).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Style w:val="781"/>
        <w:pBdr/>
        <w:spacing/>
        <w:ind/>
        <w:jc w:val="center"/>
        <w:rPr>
          <w:rFonts w:ascii="Times New Roman" w:hAnsi="Times New Roman" w:eastAsia="Times New Roman" w:cs="Times New Roman"/>
          <w:sz w:val="28"/>
          <w:szCs w:val="28"/>
        </w:rPr>
      </w:pPr>
      <w:r/>
      <w:bookmarkStart w:id="2" w:name="_Toc177070548"/>
      <w:r>
        <w:rPr>
          <w:rFonts w:ascii="Times New Roman" w:hAnsi="Times New Roman" w:eastAsia="Times New Roman" w:cs="Times New Roman"/>
          <w:sz w:val="28"/>
          <w:szCs w:val="28"/>
        </w:rPr>
        <w:t xml:space="preserve">Заключение</w:t>
      </w:r>
      <w:bookmarkEnd w:id="2"/>
      <w:r/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Bdr/>
        <w:spacing w:line="360" w:lineRule="auto"/>
        <w:ind w:firstLine="709"/>
        <w:jc w:val="both"/>
        <w:rPr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ходе выполнения лабораторной работы №1 был проведен анализ предметного содержания и признак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ов двух нормативных документов: системного стандарта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ГОСТ 2.802-74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Макетный метод проектирования.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Техническая информация на рабочем макете</w:t>
      </w:r>
      <w:r/>
      <w:r>
        <w:rPr>
          <w:rFonts w:ascii="Times New Roman" w:hAnsi="Times New Roman" w:eastAsia="Times New Roman" w:cs="Times New Roman"/>
          <w:sz w:val="28"/>
          <w:szCs w:val="28"/>
        </w:rPr>
        <w:t xml:space="preserve">» и внесистемного стандарта ГОСТ 13659-78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Стекло оптическое бесцветное. Физико-химические характеристики. Основные параметры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».</w:t>
      </w:r>
      <w:r>
        <w:rPr>
          <w:rFonts w:ascii="Times New Roman" w:hAnsi="Times New Roman" w:eastAsia="Times New Roman" w:cs="Times New Roman"/>
          <w:sz w:val="28"/>
          <w:szCs w:val="28"/>
        </w:rPr>
      </w:r>
      <w:r/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основе анализа их обозначений и структуры были определены ключевые идентификационные признаки, которые были занесены в таблицу 1.2. Было установлено, что стандарт ГОСТ 14.205-83 входит во 2-ю межотраслевую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систему стандартов —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Единую систему конструкторской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(ЕСКД). Стандарт ГОСТ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13659-78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является внесистемным, что отражено в его обозначении. Для каждого документа были определены объект, аспект, категория, область и сфера применения.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Главным результатом исследования стала проверка актуальности стандартов. Было установлено, что на текущий 2025 год оба стандарта являются действующими и могут быть использованы в практической деятельности при разработке техничес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кой документации. Основным критерием, определяющим правомочность использования нормативного документа, является его официальный статус (действующий, заменен или отменен), который необходимо проверять с помощью актуальных указателей национальных стандартов.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Таким образом, цели лабораторной работы были достигнуты: закреплены основные термины и определения в области стандартизации, а также приобретены практические навыки по идентификации нормативных документов и определению возможности их применения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h="16838" w:orient="portrait" w:w="11906"/>
      <w:pgMar w:top="1134" w:right="567" w:bottom="1134" w:left="1701" w:header="709" w:footer="709" w:gutter="0"/>
      <w:pgNumType w:start="1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/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Georgia">
    <w:panose1 w:val="02040502050405020303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55974800"/>
      <w:rPr/>
    </w:sdtPr>
    <w:sdtContent>
      <w:p>
        <w:pPr>
          <w:pStyle w:val="812"/>
          <w:pBdr/>
          <w:spacing/>
          <w:ind/>
          <w:jc w:val="right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812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C230C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Times New Roman" w:hAnsi="Times New Roman" w:cs="Times New Roman" w:eastAsiaTheme="minorHAns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040B5A4F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2">
    <w:nsid w:val="06465A1C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450" w:left="81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2520"/>
      </w:pPr>
      <w:rPr>
        <w:rFonts w:hint="default"/>
      </w:rPr>
      <w:start w:val="1"/>
      <w:suff w:val="tab"/>
    </w:lvl>
  </w:abstractNum>
  <w:abstractNum w:abstractNumId="3">
    <w:nsid w:val="083E55D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nsid w:val="0A660DBF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0B0151B4"/>
    <w:lvl w:ilvl="0">
      <w:isLgl w:val="false"/>
      <w:lvlJc w:val="left"/>
      <w:lvlText w:val="%1"/>
      <w:numFmt w:val="decimal"/>
      <w:pPr>
        <w:pBdr/>
        <w:spacing/>
        <w:ind w:hanging="360" w:left="1440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450" w:left="153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80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216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216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252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25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288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3240"/>
      </w:pPr>
      <w:rPr>
        <w:rFonts w:hint="default"/>
      </w:rPr>
      <w:start w:val="1"/>
      <w:suff w:val="tab"/>
    </w:lvl>
  </w:abstractNum>
  <w:abstractNum w:abstractNumId="6">
    <w:nsid w:val="1970125F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  <w:sz w:val="20"/>
        <w:szCs w:val="20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3">
      <w:isLgl w:val="false"/>
      <w:lvlJc w:val="left"/>
      <w:lvlText w:val="▪"/>
      <w:numFmt w:val="bullet"/>
      <w:pPr>
        <w:pBdr/>
        <w:spacing/>
        <w:ind w:hanging="360" w:left="288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4">
      <w:isLgl w:val="false"/>
      <w:lvlJc w:val="left"/>
      <w:lvlText w:val="▪"/>
      <w:numFmt w:val="bullet"/>
      <w:pPr>
        <w:pBdr/>
        <w:spacing/>
        <w:ind w:hanging="360" w:left="360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6">
      <w:isLgl w:val="false"/>
      <w:lvlJc w:val="left"/>
      <w:lvlText w:val="▪"/>
      <w:numFmt w:val="bullet"/>
      <w:pPr>
        <w:pBdr/>
        <w:spacing/>
        <w:ind w:hanging="360" w:left="504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7">
      <w:isLgl w:val="false"/>
      <w:lvlJc w:val="left"/>
      <w:lvlText w:val="▪"/>
      <w:numFmt w:val="bullet"/>
      <w:pPr>
        <w:pBdr/>
        <w:spacing/>
        <w:ind w:hanging="360" w:left="576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 Symbols" w:hAnsi="Noto Sans Symbols" w:eastAsia="Noto Sans Symbols" w:cs="Noto Sans Symbols"/>
        <w:sz w:val="20"/>
        <w:szCs w:val="20"/>
      </w:rPr>
      <w:start w:val="1"/>
      <w:suff w:val="tab"/>
    </w:lvl>
  </w:abstractNum>
  <w:abstractNum w:abstractNumId="7">
    <w:nsid w:val="19C549B0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8">
    <w:nsid w:val="1D895069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360" w:left="1440"/>
      </w:pPr>
      <w:rPr>
        <w:rFonts w:hint="default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9">
    <w:nsid w:val="23CC08F0"/>
    <w:lvl w:ilvl="0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648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7200"/>
      </w:pPr>
      <w:rPr>
        <w:u w:val="none"/>
      </w:rPr>
      <w:start w:val="1"/>
      <w:suff w:val="tab"/>
    </w:lvl>
  </w:abstractNum>
  <w:abstractNum w:abstractNumId="10">
    <w:nsid w:val="261C3B5C"/>
    <w:lvl w:ilvl="0">
      <w:isLgl w:val="false"/>
      <w:lvlJc w:val="left"/>
      <w:lvlText w:val="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11">
    <w:nsid w:val="262478D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266C293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321D3D9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nsid w:val="3576285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361E5CD3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16">
    <w:nsid w:val="36231486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7">
    <w:nsid w:val="3D0D67F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840"/>
        </w:tabs>
        <w:spacing/>
        <w:ind w:hanging="360" w:left="6840"/>
      </w:pPr>
      <w:rPr/>
      <w:start w:val="1"/>
      <w:suff w:val="tab"/>
    </w:lvl>
  </w:abstractNum>
  <w:abstractNum w:abstractNumId="18">
    <w:nsid w:val="425F69D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9">
    <w:nsid w:val="44BA544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0">
    <w:nsid w:val="48482DB4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1">
    <w:nsid w:val="4EC64242"/>
    <w:lvl w:ilvl="0">
      <w:isLgl w:val="false"/>
      <w:lvlJc w:val="left"/>
      <w:lvlText w:val="%1"/>
      <w:numFmt w:val="decimal"/>
      <w:pPr>
        <w:pBdr/>
        <w:spacing/>
        <w:ind w:hanging="375" w:left="375"/>
      </w:pPr>
      <w:rPr>
        <w:rFonts w:hint="default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375" w:left="1455"/>
      </w:pPr>
      <w:rPr>
        <w:rFonts w:hint="default"/>
      </w:rPr>
      <w:start w:val="3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288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43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540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68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792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936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10800"/>
      </w:pPr>
      <w:rPr>
        <w:rFonts w:hint="default"/>
      </w:rPr>
      <w:start w:val="1"/>
      <w:suff w:val="tab"/>
    </w:lvl>
  </w:abstractNum>
  <w:abstractNum w:abstractNumId="22">
    <w:nsid w:val="58D3574D"/>
    <w:lvl w:ilvl="0">
      <w:isLgl w:val="false"/>
      <w:lvlJc w:val="left"/>
      <w:lvlText w:val="%1"/>
      <w:numFmt w:val="decimal"/>
      <w:pPr>
        <w:pBdr/>
        <w:spacing/>
        <w:ind w:hanging="375" w:left="375"/>
      </w:pPr>
      <w:rPr>
        <w:rFonts w:hint="default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375" w:left="1455"/>
      </w:pPr>
      <w:rPr>
        <w:rFonts w:hint="default"/>
      </w:rPr>
      <w:start w:val="3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288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43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540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68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792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936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10800"/>
      </w:pPr>
      <w:rPr>
        <w:rFonts w:hint="default"/>
      </w:rPr>
      <w:start w:val="1"/>
      <w:suff w:val="tab"/>
    </w:lvl>
  </w:abstractNum>
  <w:abstractNum w:abstractNumId="23">
    <w:nsid w:val="65DC7770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24">
    <w:nsid w:val="7298048A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25">
    <w:nsid w:val="78120F46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26">
    <w:nsid w:val="796C7C3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9"/>
  </w:num>
  <w:num w:numId="5">
    <w:abstractNumId w:val="20"/>
  </w:num>
  <w:num w:numId="6">
    <w:abstractNumId w:val="16"/>
  </w:num>
  <w:num w:numId="7">
    <w:abstractNumId w:val="5"/>
  </w:num>
  <w:num w:numId="8">
    <w:abstractNumId w:val="1"/>
  </w:num>
  <w:num w:numId="9">
    <w:abstractNumId w:val="23"/>
  </w:num>
  <w:num w:numId="10">
    <w:abstractNumId w:val="22"/>
  </w:num>
  <w:num w:numId="11">
    <w:abstractNumId w:val="12"/>
  </w:num>
  <w:num w:numId="12">
    <w:abstractNumId w:val="13"/>
  </w:num>
  <w:num w:numId="13">
    <w:abstractNumId w:val="21"/>
  </w:num>
  <w:num w:numId="14">
    <w:abstractNumId w:val="26"/>
  </w:num>
  <w:num w:numId="15">
    <w:abstractNumId w:val="11"/>
  </w:num>
  <w:num w:numId="16">
    <w:abstractNumId w:val="3"/>
  </w:num>
  <w:num w:numId="17">
    <w:abstractNumId w:val="25"/>
  </w:num>
  <w:num w:numId="18">
    <w:abstractNumId w:val="14"/>
  </w:num>
  <w:num w:numId="19">
    <w:abstractNumId w:val="15"/>
  </w:num>
  <w:num w:numId="20">
    <w:abstractNumId w:val="24"/>
  </w:num>
  <w:num w:numId="21">
    <w:abstractNumId w:val="8"/>
  </w:num>
  <w:num w:numId="22">
    <w:abstractNumId w:val="17"/>
    <w:lvlOverride w:ilvl="0">
      <w:startOverride w:val="1"/>
    </w:lvlOverride>
  </w:num>
  <w:num w:numId="23">
    <w:abstractNumId w:val="17"/>
    <w:lvlOverride w:ilvl="0">
      <w:startOverride w:val="2"/>
    </w:lvlOverride>
  </w:num>
  <w:num w:numId="24">
    <w:abstractNumId w:val="17"/>
    <w:lvlOverride w:ilvl="0">
      <w:startOverride w:val="3"/>
    </w:lvlOverride>
  </w:num>
  <w:num w:numId="25">
    <w:abstractNumId w:val="2"/>
  </w:num>
  <w:num w:numId="26">
    <w:abstractNumId w:val="7"/>
  </w:num>
  <w:num w:numId="27">
    <w:abstractNumId w:val="4"/>
  </w:num>
  <w:num w:numId="28">
    <w:abstractNumId w:val="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5">
    <w:name w:val="Heading 7"/>
    <w:basedOn w:val="780"/>
    <w:next w:val="780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80"/>
    <w:next w:val="780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80"/>
    <w:next w:val="780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87"/>
    <w:link w:val="78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87"/>
    <w:link w:val="78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87"/>
    <w:link w:val="78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87"/>
    <w:link w:val="78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87"/>
    <w:link w:val="7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87"/>
    <w:link w:val="78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87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8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87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787"/>
    <w:link w:val="79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787"/>
    <w:link w:val="80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80"/>
    <w:next w:val="780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87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78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80"/>
    <w:next w:val="780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87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8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80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8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87"/>
    <w:uiPriority w:val="20"/>
    <w:qFormat/>
    <w:pPr>
      <w:pBdr/>
      <w:spacing/>
      <w:ind/>
    </w:pPr>
    <w:rPr>
      <w:i/>
      <w:iCs/>
    </w:rPr>
  </w:style>
  <w:style w:type="character" w:styleId="174">
    <w:name w:val="Subtle Reference"/>
    <w:basedOn w:val="78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8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87"/>
    <w:link w:val="810"/>
    <w:uiPriority w:val="99"/>
    <w:pPr>
      <w:pBdr/>
      <w:spacing/>
      <w:ind/>
    </w:pPr>
  </w:style>
  <w:style w:type="character" w:styleId="179">
    <w:name w:val="Footer Char"/>
    <w:basedOn w:val="787"/>
    <w:link w:val="812"/>
    <w:uiPriority w:val="99"/>
    <w:pPr>
      <w:pBdr/>
      <w:spacing/>
      <w:ind/>
    </w:pPr>
  </w:style>
  <w:style w:type="paragraph" w:styleId="180">
    <w:name w:val="Caption"/>
    <w:basedOn w:val="780"/>
    <w:next w:val="78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80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87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87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80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87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87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78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0">
    <w:name w:val="toc 2"/>
    <w:basedOn w:val="780"/>
    <w:next w:val="780"/>
    <w:uiPriority w:val="39"/>
    <w:unhideWhenUsed/>
    <w:pPr>
      <w:pBdr/>
      <w:spacing w:after="100"/>
      <w:ind w:left="220"/>
    </w:pPr>
  </w:style>
  <w:style w:type="paragraph" w:styleId="191">
    <w:name w:val="toc 3"/>
    <w:basedOn w:val="780"/>
    <w:next w:val="780"/>
    <w:uiPriority w:val="39"/>
    <w:unhideWhenUsed/>
    <w:pPr>
      <w:pBdr/>
      <w:spacing w:after="100"/>
      <w:ind w:left="440"/>
    </w:pPr>
  </w:style>
  <w:style w:type="paragraph" w:styleId="192">
    <w:name w:val="toc 4"/>
    <w:basedOn w:val="780"/>
    <w:next w:val="780"/>
    <w:uiPriority w:val="39"/>
    <w:unhideWhenUsed/>
    <w:pPr>
      <w:pBdr/>
      <w:spacing w:after="100"/>
      <w:ind w:left="660"/>
    </w:pPr>
  </w:style>
  <w:style w:type="paragraph" w:styleId="193">
    <w:name w:val="toc 5"/>
    <w:basedOn w:val="780"/>
    <w:next w:val="780"/>
    <w:uiPriority w:val="39"/>
    <w:unhideWhenUsed/>
    <w:pPr>
      <w:pBdr/>
      <w:spacing w:after="100"/>
      <w:ind w:left="880"/>
    </w:pPr>
  </w:style>
  <w:style w:type="paragraph" w:styleId="194">
    <w:name w:val="toc 6"/>
    <w:basedOn w:val="780"/>
    <w:next w:val="780"/>
    <w:uiPriority w:val="39"/>
    <w:unhideWhenUsed/>
    <w:pPr>
      <w:pBdr/>
      <w:spacing w:after="100"/>
      <w:ind w:left="1100"/>
    </w:pPr>
  </w:style>
  <w:style w:type="paragraph" w:styleId="195">
    <w:name w:val="toc 7"/>
    <w:basedOn w:val="780"/>
    <w:next w:val="780"/>
    <w:uiPriority w:val="39"/>
    <w:unhideWhenUsed/>
    <w:pPr>
      <w:pBdr/>
      <w:spacing w:after="100"/>
      <w:ind w:left="1320"/>
    </w:pPr>
  </w:style>
  <w:style w:type="paragraph" w:styleId="196">
    <w:name w:val="toc 8"/>
    <w:basedOn w:val="780"/>
    <w:next w:val="780"/>
    <w:uiPriority w:val="39"/>
    <w:unhideWhenUsed/>
    <w:pPr>
      <w:pBdr/>
      <w:spacing w:after="100"/>
      <w:ind w:left="1540"/>
    </w:pPr>
  </w:style>
  <w:style w:type="paragraph" w:styleId="197">
    <w:name w:val="toc 9"/>
    <w:basedOn w:val="780"/>
    <w:next w:val="780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87"/>
    <w:uiPriority w:val="99"/>
    <w:semiHidden/>
    <w:pPr>
      <w:pBdr/>
      <w:spacing/>
      <w:ind/>
    </w:pPr>
    <w:rPr>
      <w:color w:val="666666"/>
    </w:rPr>
  </w:style>
  <w:style w:type="paragraph" w:styleId="209">
    <w:name w:val="table of figures"/>
    <w:basedOn w:val="780"/>
    <w:next w:val="780"/>
    <w:uiPriority w:val="99"/>
    <w:unhideWhenUsed/>
    <w:pPr>
      <w:pBdr/>
      <w:spacing w:after="0" w:afterAutospacing="0"/>
      <w:ind/>
    </w:pPr>
  </w:style>
  <w:style w:type="paragraph" w:styleId="780" w:default="1">
    <w:name w:val="Normal"/>
    <w:qFormat/>
    <w:pPr>
      <w:pBdr/>
      <w:spacing/>
      <w:ind/>
    </w:pPr>
  </w:style>
  <w:style w:type="paragraph" w:styleId="781">
    <w:name w:val="Heading 1"/>
    <w:basedOn w:val="780"/>
    <w:next w:val="780"/>
    <w:pPr>
      <w:keepNext w:val="true"/>
      <w:keepLines w:val="true"/>
      <w:pBdr/>
      <w:spacing w:after="120" w:before="480"/>
      <w:ind/>
      <w:outlineLvl w:val="0"/>
    </w:pPr>
    <w:rPr>
      <w:b/>
      <w:sz w:val="48"/>
      <w:szCs w:val="48"/>
    </w:rPr>
  </w:style>
  <w:style w:type="paragraph" w:styleId="782">
    <w:name w:val="Heading 2"/>
    <w:basedOn w:val="780"/>
    <w:next w:val="780"/>
    <w:pPr>
      <w:keepNext w:val="true"/>
      <w:keepLines w:val="true"/>
      <w:pBdr/>
      <w:spacing w:after="80" w:before="360"/>
      <w:ind/>
      <w:outlineLvl w:val="1"/>
    </w:pPr>
    <w:rPr>
      <w:b/>
      <w:sz w:val="36"/>
      <w:szCs w:val="36"/>
    </w:rPr>
  </w:style>
  <w:style w:type="paragraph" w:styleId="783">
    <w:name w:val="Heading 3"/>
    <w:basedOn w:val="780"/>
    <w:next w:val="780"/>
    <w:pPr>
      <w:keepNext w:val="true"/>
      <w:keepLines w:val="true"/>
      <w:pBdr/>
      <w:spacing w:after="80" w:before="280"/>
      <w:ind/>
      <w:outlineLvl w:val="2"/>
    </w:pPr>
    <w:rPr>
      <w:b/>
      <w:sz w:val="28"/>
      <w:szCs w:val="28"/>
    </w:rPr>
  </w:style>
  <w:style w:type="paragraph" w:styleId="784">
    <w:name w:val="Heading 4"/>
    <w:basedOn w:val="780"/>
    <w:next w:val="780"/>
    <w:pPr>
      <w:keepNext w:val="true"/>
      <w:keepLines w:val="true"/>
      <w:pBdr/>
      <w:spacing w:after="40" w:before="240"/>
      <w:ind/>
      <w:outlineLvl w:val="3"/>
    </w:pPr>
    <w:rPr>
      <w:b/>
      <w:sz w:val="24"/>
      <w:szCs w:val="24"/>
    </w:rPr>
  </w:style>
  <w:style w:type="paragraph" w:styleId="785">
    <w:name w:val="Heading 5"/>
    <w:basedOn w:val="780"/>
    <w:next w:val="780"/>
    <w:pPr>
      <w:keepNext w:val="true"/>
      <w:keepLines w:val="true"/>
      <w:pBdr/>
      <w:spacing w:after="40" w:before="220"/>
      <w:ind/>
      <w:outlineLvl w:val="4"/>
    </w:pPr>
    <w:rPr>
      <w:b/>
    </w:rPr>
  </w:style>
  <w:style w:type="paragraph" w:styleId="786">
    <w:name w:val="Heading 6"/>
    <w:basedOn w:val="780"/>
    <w:next w:val="780"/>
    <w:pPr>
      <w:keepNext w:val="true"/>
      <w:keepLines w:val="true"/>
      <w:pBdr/>
      <w:spacing w:after="40" w:before="200"/>
      <w:ind/>
      <w:outlineLvl w:val="5"/>
    </w:pPr>
    <w:rPr>
      <w:b/>
      <w:sz w:val="20"/>
      <w:szCs w:val="20"/>
    </w:rPr>
  </w:style>
  <w:style w:type="character" w:styleId="787" w:default="1">
    <w:name w:val="Default Paragraph Font"/>
    <w:uiPriority w:val="1"/>
    <w:semiHidden/>
    <w:unhideWhenUsed/>
    <w:pPr>
      <w:pBdr/>
      <w:spacing/>
      <w:ind/>
    </w:pPr>
  </w:style>
  <w:style w:type="table" w:styleId="78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89" w:default="1">
    <w:name w:val="No List"/>
    <w:uiPriority w:val="99"/>
    <w:semiHidden/>
    <w:unhideWhenUsed/>
    <w:pPr>
      <w:pBdr/>
      <w:spacing/>
      <w:ind/>
    </w:pPr>
  </w:style>
  <w:style w:type="table" w:styleId="790" w:customStyle="1">
    <w:name w:val="Table Normal"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1">
    <w:name w:val="Title"/>
    <w:basedOn w:val="780"/>
    <w:next w:val="780"/>
    <w:pPr>
      <w:keepNext w:val="true"/>
      <w:keepLines w:val="true"/>
      <w:pBdr/>
      <w:spacing w:after="120" w:before="480"/>
      <w:ind/>
    </w:pPr>
    <w:rPr>
      <w:b/>
      <w:sz w:val="72"/>
      <w:szCs w:val="72"/>
    </w:rPr>
  </w:style>
  <w:style w:type="table" w:styleId="792" w:customStyle="1">
    <w:name w:val="Table Normal"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Table Normal"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4">
    <w:name w:val="Balloon Text"/>
    <w:basedOn w:val="780"/>
    <w:link w:val="795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795" w:customStyle="1">
    <w:name w:val="Текст выноски Знак"/>
    <w:basedOn w:val="787"/>
    <w:link w:val="794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796">
    <w:name w:val="Hyperlink"/>
    <w:basedOn w:val="787"/>
    <w:uiPriority w:val="99"/>
    <w:unhideWhenUsed/>
    <w:pPr>
      <w:pBdr/>
      <w:spacing/>
      <w:ind/>
    </w:pPr>
    <w:rPr>
      <w:color w:val="0000ff"/>
      <w:u w:val="single"/>
    </w:rPr>
  </w:style>
  <w:style w:type="paragraph" w:styleId="797">
    <w:name w:val="Normal (Web)"/>
    <w:basedOn w:val="780"/>
    <w:uiPriority w:val="99"/>
    <w:unhideWhenUsed/>
    <w:pPr>
      <w:pBdr/>
      <w:spacing w:after="100" w:afterAutospacing="1" w:before="100" w:beforeAutospacing="1"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798" w:customStyle="1">
    <w:name w:val="mwe-math-mathml-inline"/>
    <w:basedOn w:val="787"/>
    <w:pPr>
      <w:pBdr/>
      <w:spacing/>
      <w:ind/>
    </w:pPr>
  </w:style>
  <w:style w:type="table" w:styleId="799">
    <w:name w:val="Table Grid"/>
    <w:basedOn w:val="788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00" w:customStyle="1">
    <w:name w:val="apple-tab-span"/>
    <w:basedOn w:val="787"/>
    <w:pPr>
      <w:pBdr/>
      <w:spacing/>
      <w:ind/>
    </w:pPr>
  </w:style>
  <w:style w:type="paragraph" w:styleId="801">
    <w:name w:val="Subtitle"/>
    <w:basedOn w:val="780"/>
    <w:next w:val="780"/>
    <w:pPr>
      <w:keepNext w:val="true"/>
      <w:keepLines w:val="true"/>
      <w:pBdr/>
      <w:spacing w:after="80" w:before="360"/>
      <w:ind/>
    </w:pPr>
    <w:rPr>
      <w:rFonts w:ascii="Georgia" w:hAnsi="Georgia" w:eastAsia="Georgia" w:cs="Georgia"/>
      <w:i/>
      <w:color w:val="666666"/>
      <w:sz w:val="48"/>
      <w:szCs w:val="48"/>
    </w:rPr>
  </w:style>
  <w:style w:type="table" w:styleId="802" w:customStyle="1">
    <w:name w:val="StGen0"/>
    <w:basedOn w:val="793"/>
    <w:pPr>
      <w:pBdr/>
      <w:spacing/>
      <w:ind/>
    </w:pPr>
    <w:tblPr>
      <w:tblStyleRowBandSize w:val="1"/>
      <w:tblStyleColBandSize w:val="1"/>
      <w:tblCellMar>
        <w:left w:w="15" w:type="dxa"/>
        <w:top w:w="15" w:type="dxa"/>
        <w:right w:w="15" w:type="dxa"/>
        <w:bottom w:w="15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03">
    <w:name w:val="List Paragraph"/>
    <w:basedOn w:val="780"/>
    <w:uiPriority w:val="1"/>
    <w:qFormat/>
    <w:pPr>
      <w:pBdr/>
      <w:spacing/>
      <w:ind w:left="720"/>
      <w:contextualSpacing w:val="true"/>
    </w:pPr>
  </w:style>
  <w:style w:type="table" w:styleId="804" w:customStyle="1">
    <w:name w:val="StGen1"/>
    <w:basedOn w:val="793"/>
    <w:pPr>
      <w:pBdr/>
      <w:spacing/>
      <w:ind/>
    </w:pPr>
    <w:tblPr>
      <w:tblStyleRowBandSize w:val="1"/>
      <w:tblStyleColBandSize w:val="1"/>
      <w:tblCellMar>
        <w:left w:w="15" w:type="dxa"/>
        <w:top w:w="15" w:type="dxa"/>
        <w:right w:w="15" w:type="dxa"/>
        <w:bottom w:w="15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StGen2"/>
    <w:basedOn w:val="792"/>
    <w:pPr>
      <w:pBdr/>
      <w:spacing/>
      <w:ind/>
    </w:pPr>
    <w:tblPr>
      <w:tblStyleRowBandSize w:val="1"/>
      <w:tblStyleColBandSize w:val="1"/>
      <w:tblCellMar>
        <w:left w:w="15" w:type="dxa"/>
        <w:top w:w="15" w:type="dxa"/>
        <w:right w:w="15" w:type="dxa"/>
        <w:bottom w:w="15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06" w:customStyle="1">
    <w:name w:val="richfactdown-paragraph"/>
    <w:basedOn w:val="780"/>
    <w:pPr>
      <w:pBdr/>
      <w:spacing w:after="100" w:afterAutospacing="1" w:before="100" w:beforeAutospacing="1"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807">
    <w:name w:val="Strong"/>
    <w:basedOn w:val="787"/>
    <w:uiPriority w:val="22"/>
    <w:qFormat/>
    <w:pPr>
      <w:pBdr/>
      <w:spacing/>
      <w:ind/>
    </w:pPr>
    <w:rPr>
      <w:b/>
      <w:bCs/>
    </w:rPr>
  </w:style>
  <w:style w:type="paragraph" w:styleId="808">
    <w:name w:val="TOC Heading"/>
    <w:basedOn w:val="781"/>
    <w:next w:val="780"/>
    <w:uiPriority w:val="39"/>
    <w:unhideWhenUsed/>
    <w:qFormat/>
    <w:pPr>
      <w:pBdr/>
      <w:spacing w:after="0" w:before="240" w:line="259" w:lineRule="auto"/>
      <w:ind/>
      <w:outlineLvl w:val="9"/>
    </w:pPr>
    <w:rPr>
      <w:rFonts w:asciiTheme="majorHAnsi" w:hAnsiTheme="majorHAnsi" w:eastAsiaTheme="majorEastAsia" w:cstheme="majorBidi"/>
      <w:b w:val="0"/>
      <w:color w:val="365f91" w:themeColor="accent1" w:themeShade="BF"/>
      <w:sz w:val="32"/>
      <w:szCs w:val="32"/>
    </w:rPr>
  </w:style>
  <w:style w:type="paragraph" w:styleId="809">
    <w:name w:val="toc 1"/>
    <w:basedOn w:val="780"/>
    <w:next w:val="780"/>
    <w:uiPriority w:val="39"/>
    <w:unhideWhenUsed/>
    <w:pPr>
      <w:pBdr/>
      <w:spacing w:after="100"/>
      <w:ind/>
    </w:pPr>
  </w:style>
  <w:style w:type="paragraph" w:styleId="810">
    <w:name w:val="Header"/>
    <w:basedOn w:val="780"/>
    <w:link w:val="811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11" w:customStyle="1">
    <w:name w:val="Верхний колонтитул Знак"/>
    <w:basedOn w:val="787"/>
    <w:link w:val="810"/>
    <w:uiPriority w:val="99"/>
    <w:pPr>
      <w:pBdr/>
      <w:spacing/>
      <w:ind/>
    </w:pPr>
  </w:style>
  <w:style w:type="paragraph" w:styleId="812">
    <w:name w:val="Footer"/>
    <w:basedOn w:val="780"/>
    <w:link w:val="813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13" w:customStyle="1">
    <w:name w:val="Нижний колонтитул Знак"/>
    <w:basedOn w:val="787"/>
    <w:link w:val="812"/>
    <w:uiPriority w:val="99"/>
    <w:pPr>
      <w:pBdr/>
      <w:spacing/>
      <w:ind/>
    </w:pPr>
  </w:style>
  <w:style w:type="character" w:styleId="814" w:customStyle="1">
    <w:name w:val="ng-star-inserted"/>
    <w:basedOn w:val="787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Q6hB5T4BA48gXbDbRm3Cb4mWwA==">CgMxLjAyCWguMWZvYjl0ZTIIaC5namRneHMyCWguMzBqMHpsbDgAciExMnkxMkpTemFZbjBCNG9qZjNOODh4ejhEOXpaeVlUblg=</go:docsCustomData>
</go:gDocsCustomXmlDataStorage>
</file>

<file path=customXml/itemProps1.xml><?xml version="1.0" encoding="utf-8"?>
<ds:datastoreItem xmlns:ds="http://schemas.openxmlformats.org/officeDocument/2006/customXml" ds:itemID="{DC08B9F6-E5B3-4121-A63A-19C6D24B85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23</cp:revision>
  <dcterms:created xsi:type="dcterms:W3CDTF">2024-05-21T17:57:00Z</dcterms:created>
  <dcterms:modified xsi:type="dcterms:W3CDTF">2025-10-17T23:08:39Z</dcterms:modified>
</cp:coreProperties>
</file>